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BAE12" w14:textId="734195AA" w:rsidR="00FF6768" w:rsidRDefault="00000000" w:rsidP="007C6DBF">
      <w:pPr>
        <w:pBdr>
          <w:top w:val="nil"/>
          <w:left w:val="nil"/>
          <w:bottom w:val="nil"/>
          <w:right w:val="nil"/>
          <w:between w:val="nil"/>
        </w:pBdr>
        <w:spacing w:before="240" w:line="360" w:lineRule="auto"/>
        <w:ind w:leftChars="0" w:left="0" w:firstLineChars="0" w:firstLine="0"/>
        <w:jc w:val="both"/>
        <w:outlineLvl w:val="9"/>
        <w:rPr>
          <w:rFonts w:ascii="Arial Narrow" w:eastAsia="Arial Narrow" w:hAnsi="Arial Narrow" w:cs="Arial Narrow"/>
          <w:color w:val="000000"/>
        </w:rPr>
      </w:pPr>
      <w:r>
        <w:rPr>
          <w:rFonts w:ascii="Arial Narrow" w:eastAsia="Arial Narrow" w:hAnsi="Arial Narrow" w:cs="Arial Narrow"/>
          <w:b/>
          <w:color w:val="000000"/>
        </w:rPr>
        <w:t>İŞ SAĞLIĞI VE GÜVENLİĞİ SÖZLEŞMESİ</w:t>
      </w:r>
    </w:p>
    <w:p w14:paraId="33C1D21D" w14:textId="77777777" w:rsidR="00FF6768" w:rsidRDefault="00FF6768" w:rsidP="00BE6694">
      <w:pPr>
        <w:pBdr>
          <w:top w:val="nil"/>
          <w:left w:val="nil"/>
          <w:bottom w:val="nil"/>
          <w:right w:val="nil"/>
          <w:between w:val="nil"/>
        </w:pBdr>
        <w:spacing w:line="360" w:lineRule="auto"/>
        <w:ind w:left="0" w:hanging="2"/>
        <w:jc w:val="both"/>
        <w:outlineLvl w:val="9"/>
        <w:rPr>
          <w:rFonts w:ascii="Arial Narrow" w:eastAsia="Arial Narrow" w:hAnsi="Arial Narrow" w:cs="Arial Narrow"/>
          <w:color w:val="000000"/>
          <w:sz w:val="22"/>
          <w:szCs w:val="22"/>
        </w:rPr>
      </w:pPr>
    </w:p>
    <w:p w14:paraId="2DA679D4" w14:textId="77777777" w:rsidR="00FF6768" w:rsidRDefault="00000000" w:rsidP="00BE6694">
      <w:pPr>
        <w:ind w:left="0" w:hanging="2"/>
        <w:jc w:val="both"/>
        <w:outlineLvl w:val="9"/>
        <w:rPr>
          <w:rFonts w:ascii="Arial Narrow" w:eastAsia="Arial Narrow" w:hAnsi="Arial Narrow" w:cs="Arial Narrow"/>
        </w:rPr>
      </w:pPr>
      <w:r>
        <w:rPr>
          <w:rFonts w:ascii="Arial Narrow" w:eastAsia="Arial Narrow" w:hAnsi="Arial Narrow" w:cs="Arial Narrow"/>
          <w:sz w:val="22"/>
          <w:szCs w:val="22"/>
        </w:rPr>
        <w:t xml:space="preserve">        Bu Sözleşme, bir tarafta TOROSGAZ ISPARTA BURDUR DOGALGAZ DAĞITIM A.Ş. (bundan sonra ŞİRKET olarak anılacaktır) diğer tarafta …………… (bundan sonra YÜKLENİCİ olarak anılacaktır) arasında ………………….. Tarihinde akdedilmiştir.</w:t>
      </w:r>
    </w:p>
    <w:p w14:paraId="669C84F1" w14:textId="42E2BE37" w:rsidR="00FF6768" w:rsidRDefault="00000000" w:rsidP="00BE6694">
      <w:pPr>
        <w:spacing w:line="276"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 xml:space="preserve">         İşbu sözleşme; ………………….. tarihinde imzalanan ana sözleşmenin ayrılmaz bir parçası olup bu sözleşmede bulunmayan hükümlerde ana sözleşme hükümleri geçerli olacaktır.</w:t>
      </w:r>
    </w:p>
    <w:p w14:paraId="1DA503F8" w14:textId="77777777" w:rsidR="00FF6768" w:rsidRDefault="00000000" w:rsidP="00BE6694">
      <w:pPr>
        <w:spacing w:after="240" w:line="276" w:lineRule="auto"/>
        <w:ind w:left="0" w:hanging="2"/>
        <w:jc w:val="both"/>
        <w:outlineLvl w:val="9"/>
        <w:rPr>
          <w:rFonts w:ascii="Arial Narrow" w:eastAsia="Arial Narrow" w:hAnsi="Arial Narrow" w:cs="Arial Narrow"/>
        </w:rPr>
      </w:pPr>
      <w:r>
        <w:rPr>
          <w:rFonts w:ascii="Arial Narrow" w:eastAsia="Arial Narrow" w:hAnsi="Arial Narrow" w:cs="Arial Narrow"/>
          <w:sz w:val="22"/>
          <w:szCs w:val="22"/>
        </w:rPr>
        <w:t xml:space="preserve">         Bu sözleşme ŞİRKET’in yaptıracağı her türlü işin yapımı veya alacağı hizmetler sırasında YÜKLENİCİNİN uyması gereken İş Sağlığı ve Güvenliği Kuralları ile önlemlerini kapsamaktadır.</w:t>
      </w:r>
      <w:r>
        <w:rPr>
          <w:rFonts w:ascii="Arial Narrow" w:eastAsia="Arial Narrow" w:hAnsi="Arial Narrow" w:cs="Arial Narrow"/>
        </w:rPr>
        <w:t xml:space="preserve"> </w:t>
      </w:r>
    </w:p>
    <w:p w14:paraId="5E960294"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w:t>
      </w:r>
    </w:p>
    <w:p w14:paraId="3BEDDE87" w14:textId="77777777" w:rsidR="00FF6768" w:rsidRDefault="00000000" w:rsidP="00BE6694">
      <w:pPr>
        <w:spacing w:after="240"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yapmayı taahhüt ettiği işler için çalıştırdığı işçilere karşı doğrudan doğruya İşveren durumundadır. Bu nedenle, işyerinde kendisine ayrılan yerde ve işlerde, iş kazası ve meslek hastalığı olmaması için 6331 sayılı İş Sağlığı ve Güvenliği Kanunu, 4857 sayılı İş Kanunu, SGK Kanunu, ilgili Tüzük ve Yönetmeliklerinde belirtilmiş olan İş Sağlığı ve Güvenliğine ilişkin tüm önlemleri almak ve işyerinde uygulanmakta olan kurallara uymak, her türlü malzeme, araç ve gereçleri sağlamak, işyerinde bulundurmak, işçilerine kullandırmak, alınan önlemlere uyulup uyulmadığını denetlemek zorundadır. Ayrıca ileride yürürlüğe girecek olan İş Sağlığı ve Güvenliği ile ilgili Tüzük ve Yönetmeliklerinde takibini yapmak ve gerekli yasal yükümlülüklerini yerine getirmek zorundadır.</w:t>
      </w:r>
    </w:p>
    <w:p w14:paraId="2F7EB710" w14:textId="77777777" w:rsidR="00FF6768" w:rsidRDefault="00000000" w:rsidP="00BE6694">
      <w:pPr>
        <w:spacing w:after="240"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Aksi halde gerek ihmal gerekse dikkatsizlikten veya ehliyetsiz işçi çalıştırmaktan doğacak kazalardan dolayı her türlü cezai ve hukuki sorumluluk tamamen YÜKLENİCİ’ ye ait olacaktır.   ŞİRKET bu nedenle her ne ad altında olursa olsun bir ödeme yükümlülüğünde kalırsa iş bu ödemeyi ticari avans faizi ile YÜKLENİCİ’ den nakden ve defaten talep edebilecektir. Ayrıca söz konusu tutar YÜKLENİCİ’ nin ŞİRKET nezdindeki her türlü alacağından mahsup edebilecektir.</w:t>
      </w:r>
    </w:p>
    <w:p w14:paraId="2B41A85F"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2:</w:t>
      </w:r>
    </w:p>
    <w:p w14:paraId="10E509E6" w14:textId="77777777" w:rsidR="00FF6768" w:rsidRDefault="00000000" w:rsidP="00BE6694">
      <w:pPr>
        <w:spacing w:after="240"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Kanununun 6. Maddesinin 1 fıkrasının a bendi hükmünce tehlike sınıfı ve çalışan sayısı dikkate alınarak bir iş güvenliği uzmanı ve işyeri hekimi (çok tehlikeli sınıflar için diğer sağlık personeli) ile anlaşmalı ve kendi bünyesinde iş sağlığı güvenlik birimini kurmalı veya ortak sağlık güvenlik birimlerinden hizmet satın almalıdır. Ortak sağlık güvenlik birimleri veya İş güvenliği uzmanı, iş yeri hekimi ile yapılan sözleşmenin bir kopyasını ŞİRKET’e iletmek zorundadır. YÜKLENİCİ EK-1 de belirtilen İSG DOSYASINI (Risk analizi, Acil Eylem Planını ve diğer maddelerde belirtilen yükümlülükleri) tebliğ etmeden işe başlamayacaktır.</w:t>
      </w:r>
    </w:p>
    <w:p w14:paraId="3DB977AC"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3:</w:t>
      </w:r>
    </w:p>
    <w:p w14:paraId="0F30E764" w14:textId="77777777" w:rsidR="00FF6768" w:rsidRDefault="00000000" w:rsidP="00BE6694">
      <w:pPr>
        <w:spacing w:after="240"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22. Maddesinin 1. fıkrası hükmünce, elli (50) ve daha fazla çalışanın bulunduğu ve altı aydan fazla süren sürekli işlerin yapıldığı işyerlerinde iş sağlığı ve güvenliği kurulu oluşturmak zorundadır. Oluşturulacak İş Sağlığı ve Güvenliği Kurullarında 18.01.2013 tarih ve 28532 sayı ile yürürlüğe giren İş Sağılığı ve Güvenliği Kurulları Hakkında Yönetmelik esasları dikkate alınacaktır. YÜKLENİCİ, oluşturulan iş sağlığı ve güvenliği kurullarına ŞİRKET’ten personel katılımı sağlanması için bilgi vermek ve alınan kararlar hakkında ŞİRKET’ i bilgilendirmek zorundadır.</w:t>
      </w:r>
    </w:p>
    <w:p w14:paraId="62299C00"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lastRenderedPageBreak/>
        <w:t>Madde 4:</w:t>
      </w:r>
    </w:p>
    <w:p w14:paraId="7152A070" w14:textId="77777777" w:rsidR="00FF6768" w:rsidRDefault="00000000" w:rsidP="00BE6694">
      <w:pPr>
        <w:spacing w:after="240"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20. Maddesinin 1. Fıkrası hükmünce çalışanlar arasında yapılacak seçim veya seçimle belirlenemediği durumda atama yoluyla çalışan temsilcisi veya temsilcileri görevlendirmek zorundadır. Görevlendirilen çalışan temsilcisi veya temsilcilerinin isim listelerini ŞİRKET’e iletmek zorundadır.</w:t>
      </w:r>
    </w:p>
    <w:p w14:paraId="09E1CCDF"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5:</w:t>
      </w:r>
    </w:p>
    <w:p w14:paraId="367D34F2" w14:textId="77777777" w:rsidR="00FF6768" w:rsidRDefault="00000000" w:rsidP="00BE6694">
      <w:pPr>
        <w:spacing w:after="240"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17. Maddesi hükmünce çalışanlarının iş sağlığı ve güvenliği eğitimlerini almasını sağlamak zorundadır. YÜKLENİCİ iş sağlığı ve güvenliği eğitimlerini 15.05.2013 tarih ve 28648 sayılı resmî gazetede yayımlanarak yürürlüğe giren Çalışanların İş Sağlığı ve Güvenliği Eğitimlerinin Usul ve Esasları Hakkında Yönetmeliğin eğitim konuları ve işyerinin faaliyet alanına göre benzer konulardan seçerek eğitim programlarını hazırlamak ve verilecek olan eğitimleri belgelendirmek zorundadır. YÜKLENİCİ eğitimlerin düzenlenmesini, çalışanlarının eğitim programlarına katılmasını sağlamak ve verilecek eğitim için uygun yer, araç ve gereç temin etmek zorundadır. YÜKLENİCİ yaptığı eğitimleri belgelerini ve eğitim programının bir örneğini ŞİRKET’ e iletmek zorundadır.</w:t>
      </w:r>
    </w:p>
    <w:p w14:paraId="7C64E8A6"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6:</w:t>
      </w:r>
    </w:p>
    <w:p w14:paraId="463E261C"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10. Maddesi hükmünce iş sağlığı ve güvenliği yönünden risk değerlendirmesi yapmak veya yaptırmak zorundadır. Yapılacak risk değerlendirmesinde 29.12.2012</w:t>
      </w:r>
      <w:r>
        <w:rPr>
          <w:rFonts w:ascii="Arial Narrow" w:eastAsia="Arial Narrow" w:hAnsi="Arial Narrow" w:cs="Arial Narrow"/>
          <w:color w:val="FF0000"/>
          <w:sz w:val="22"/>
          <w:szCs w:val="22"/>
        </w:rPr>
        <w:t xml:space="preserve"> </w:t>
      </w:r>
      <w:r>
        <w:rPr>
          <w:rFonts w:ascii="Arial Narrow" w:eastAsia="Arial Narrow" w:hAnsi="Arial Narrow" w:cs="Arial Narrow"/>
          <w:sz w:val="22"/>
          <w:szCs w:val="22"/>
        </w:rPr>
        <w:t xml:space="preserve">tarih ve 28512 sayı ile yürürlüğe giren İş Sağlığı ve Güvenliği Risk Değerlendirmesi Yönetmeliği esasları göz önünde bulundurulacaktır. Yapılacak olan risk değerlendirmesi ilgili kanun ve yönetmelikler doğrultusunda hazırlanmalı ve işe başlamadan önce, çalışanların işe giriş sağlık muayene, temel İSG eğitim belgeleri ile beraber bir onaylı çıktısını, dijital ortamda bir kopyasını ŞİRKET ’e iletmek zorundadır. </w:t>
      </w:r>
    </w:p>
    <w:p w14:paraId="3EDD7ADA"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5948D91C" w14:textId="0FA81941"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7:</w:t>
      </w:r>
    </w:p>
    <w:p w14:paraId="5ABDF850"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17. Maddesi 3. Fıkrası hükmünce tehlikeli ve çok tehlikeli sınıfta yer alan işlerde, yapacağı işle ilgili çalışanlarına mesleki eğitimi aldırarak işe başlatmak zorundadır. YÜKLENİCİ çalışanlarına aldırdığı mesleki eğitimi sonucu verilen belgenin bir örneğini ŞİRKET’e iletmek zorundadır. Süresi dolacak olan belgelerle ilgili planlama yaparak süresi dolmadan eğitim kurumuna başvurmalı ve belgeyi yeniletmelidir. Ayrıca 4925 sayılı Karayolu Taşıma Kanunu gereği ŞİRKET’e hizmet veren ve araç kullanan YÜKLENİCİ çalışanları Karayolu Taşımacılık Faaliyetleri Mesleki Yeterlilik Eğitimi Yönetmeliği’nde belirtilen uygun SRC belgelerine sahip olmak zorundadır.</w:t>
      </w:r>
    </w:p>
    <w:p w14:paraId="1EA8C456"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44EBF98B" w14:textId="51BEC56D"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8:</w:t>
      </w:r>
    </w:p>
    <w:p w14:paraId="2BD1133A"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11. Maddesi 1. Fıkrası hükmünce çalışma ortamı, kullanılan maddeler, iş ekipmanı ile çevre şartlarını dikkate alarak meydana gelebilecek acil durumları önceden değerlendirmeli ve bu durumların olumsuz etkilerini önleyici ve sınırlandırıcı tedbirler almak zorundadır. Acil durum planları hazırlamak, acil durumlarla mücadele için önleme, koruma, tahliye, yangınla mücadele, ilk yardım ve benzeri konularda uygun donanıma sahip eğitimli yeterli sayıda kişiyi görevlendirip araç ve gereçleri sağlayarak acil durum tatbikatları yapmak veya yaptırmak zorundadır. YÜKLENİCİ yapmış veya yaptırmış olduğu acil durum tatbikatlarının sonucunda oluşturduğu raporlamaların bir örneğini ŞİRKET’e iletmek zorundadır.</w:t>
      </w:r>
    </w:p>
    <w:p w14:paraId="582EFC08" w14:textId="77777777" w:rsidR="00BE6694" w:rsidRDefault="00BE6694" w:rsidP="007C6DBF">
      <w:pPr>
        <w:spacing w:line="360" w:lineRule="auto"/>
        <w:ind w:leftChars="0" w:left="0" w:firstLineChars="0" w:firstLine="0"/>
        <w:jc w:val="both"/>
        <w:outlineLvl w:val="9"/>
        <w:rPr>
          <w:rFonts w:ascii="Arial Narrow" w:eastAsia="Arial Narrow" w:hAnsi="Arial Narrow" w:cs="Arial Narrow"/>
          <w:b/>
          <w:sz w:val="22"/>
          <w:szCs w:val="22"/>
        </w:rPr>
      </w:pPr>
    </w:p>
    <w:p w14:paraId="1226DAE8" w14:textId="1D87B6DE" w:rsidR="00FF6768" w:rsidRDefault="00000000" w:rsidP="007C6DBF">
      <w:pPr>
        <w:spacing w:line="360" w:lineRule="auto"/>
        <w:ind w:leftChars="0" w:left="0" w:firstLineChars="0" w:firstLine="0"/>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lastRenderedPageBreak/>
        <w:t>Madde 9:</w:t>
      </w:r>
    </w:p>
    <w:p w14:paraId="77A8C0AF"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15. Maddesi gereğince çalışanların işyerinde maruz kalacakları sağlık ve güvenlik risklerini dikkate alarak sağlık gözetimine tabi tutulmalarını sağlamak zorundadır. YÜKLENİCİ, çalışanlarının işe girişlerinde, iş değişikliğinde, iş kazası veya meslek hastalığı nedeniyle işten uzaklaşmalarından sonra işe dönüşlerinde ve işin devamı süresince işyerinin tehlike sınıfına göre belirlenen düzenli aralıklarla sağlık gözetimini yaptırmak zorundadır.</w:t>
      </w:r>
    </w:p>
    <w:p w14:paraId="2843D721"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1FF4E194" w14:textId="4B80D3A2"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10:</w:t>
      </w:r>
    </w:p>
    <w:p w14:paraId="107EA2BE"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 4. Maddesi 1. Fıkrası a ve b bendi hükmünce çalışanlarının iş sağlığı ve güvenliği ile ilgili gerekli kişisel koruyucu donanımlar, araç ve gereçlerin sağlanması ve kullanılması ile ilgili alınan tedbirlere uyulup uyulmadığını izlemek, denetlemek ve uygunsuzlukların giderilmesini sağlamakla yükümlüdür. YÜKLENİCİ, yapılan işin niteliğine göre ŞİRKET’ in önerdiği, standartlara uygun CE belgeli EK-3 deki KKD Matrisindeki kişisel koruyucu donanımları ilgili ŞİRKET yetkilisi gözetimi ile imza altına alarak zimmet tutanağı karşılığı çalışanlarına ücretsiz olarak vermek zorundadır. Bu tutanakların bir nüshasını ŞİRKET’e iletmek, denetleme yapmak, anlaşmış olduğu İş güvenliği uzmanlarınca saha denetimlerinin yapılmasını sağlamakla ve denetim formlarını ŞİRKET’ e iletmekle yükümlüdür.</w:t>
      </w:r>
    </w:p>
    <w:p w14:paraId="2C323953"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6535FA6F" w14:textId="4DA0C855"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11:</w:t>
      </w:r>
    </w:p>
    <w:p w14:paraId="62D562FE"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 xml:space="preserve">YÜKLENİCİ; 4857 sayılı İş Kanununun 75. Maddesi hükmünce çalıştırdığı her işçi için bir özlük dosyası düzenleyerek her türlü belge ve kayıtları saklamak zorundadır. </w:t>
      </w:r>
    </w:p>
    <w:p w14:paraId="010FDB38"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2F438EFA" w14:textId="1DCDF3D4"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12:</w:t>
      </w:r>
    </w:p>
    <w:p w14:paraId="4DD0EB74"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25.04.2013 tarih ve 28628 sayılı resmî gazetede yayımlanarak yürürlüğe giren İş Ekipmanlarının Kullanımında Sağlık ve Güvenlik Şartları Yönetmeliği kapsamında araç veya iş makinesi kullanacak çalışanlarının ehliyet veya operatörlük belgesine sahip olanlarından görevlendirmek zorundadır. YÜKLENİCİ istenildiği halde bu belgelerin örneklerini ŞİRKET’e iletmek zorundadır.</w:t>
      </w:r>
    </w:p>
    <w:p w14:paraId="0258F85B"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62E5AACA" w14:textId="5859A698"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13:</w:t>
      </w:r>
    </w:p>
    <w:p w14:paraId="1FD5E592"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25.04.2013 tarih ve 28628 sayılı resmî gazetede yayımlanarak yürürlüğe giren “İş Ekipmanlarının Kullanımında Sağlık ve Güvenlik Şartları Yönetmeliği” hükmünce işin yürütülmesi esnasında kaldırma araçları ile yapacağı çalışmalarda ilgili sorumluluklarını yerine getirecek ve aynı yönetmelikte belirtilen periyotlar ile hükümet ve mahalli idarelerce kabul edilen teknik elemanlar tarafından kontrolleri yapılarak veya yaptırılarak raporlamalı ve kayıt altına almak zorundadır. YÜKLENİCİ istenildiği halde bu belgelerin örneklerini ŞİRKET’e iletmek zorundadır.</w:t>
      </w:r>
    </w:p>
    <w:p w14:paraId="692A694F"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6BD4D1E0" w14:textId="2A3C5F8D"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14:</w:t>
      </w:r>
    </w:p>
    <w:p w14:paraId="7D3D58BB" w14:textId="1B16D850" w:rsidR="00BE6694" w:rsidRDefault="00000000" w:rsidP="007C6DBF">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 xml:space="preserve">YÜKLENİCİ; 25.04.2013 tarih ve 28628 sayılı resmî gazetede yayımlanarak yürürlüğe giren “İş Ekipmanlarının Kullanımında Sağlık ve Güvenlik Şartları Yönetmeliği” nin kompresör veya basınçlı kaplar ile yapacağı çalışmalar ilgili sorumluluklarını yerine getirecek ve aynı yönetmelikte belirtilen periyotlar ile kontrol ve deneyleri, ehliyeti Hükümet veya mahalli idarecilerce kabul edilen </w:t>
      </w:r>
      <w:r>
        <w:rPr>
          <w:rFonts w:ascii="Arial Narrow" w:eastAsia="Arial Narrow" w:hAnsi="Arial Narrow" w:cs="Arial Narrow"/>
          <w:sz w:val="22"/>
          <w:szCs w:val="22"/>
        </w:rPr>
        <w:lastRenderedPageBreak/>
        <w:t>teknik elemanlar tarafından yapılacak ve rapor olarak kayıt altına almak zorundadır. YÜKLENİCİ istenildiği halde bu belgelerin örneklerini ŞİRKET’e iletmek zorundadır.</w:t>
      </w:r>
    </w:p>
    <w:p w14:paraId="6A8C662D" w14:textId="77777777" w:rsidR="007C6DBF" w:rsidRPr="007C6DBF" w:rsidRDefault="007C6DBF" w:rsidP="007C6DBF">
      <w:pPr>
        <w:spacing w:line="360" w:lineRule="auto"/>
        <w:ind w:left="0" w:hanging="2"/>
        <w:jc w:val="both"/>
        <w:outlineLvl w:val="9"/>
        <w:rPr>
          <w:rFonts w:ascii="Arial Narrow" w:eastAsia="Arial Narrow" w:hAnsi="Arial Narrow" w:cs="Arial Narrow"/>
          <w:sz w:val="22"/>
          <w:szCs w:val="22"/>
        </w:rPr>
      </w:pPr>
    </w:p>
    <w:p w14:paraId="1A94558D" w14:textId="018F9B16"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15:</w:t>
      </w:r>
    </w:p>
    <w:p w14:paraId="47A2C881"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25.04.2013 tarih ve 28628 sayılı resmî gazetede yayımlanarak yürürlüğe giren İş Ekipmanlarının Kullanımında Sağlık ve Güvenlik Şartları Yönetmeliğinin 10. Maddesi hükmünce ve iş ekipmanları ve bunların kullanımına ilişkin olarak bilgi ve yazılı talimatları çalışanlarının anlayacağı şekilde hazırlamak zorundadır.</w:t>
      </w:r>
    </w:p>
    <w:p w14:paraId="4AF2E53D" w14:textId="77777777" w:rsidR="00FF6768" w:rsidRDefault="00FF6768" w:rsidP="007C6DBF">
      <w:pPr>
        <w:ind w:leftChars="0" w:left="0" w:firstLineChars="0" w:firstLine="0"/>
        <w:jc w:val="both"/>
        <w:outlineLvl w:val="9"/>
        <w:rPr>
          <w:rFonts w:ascii="Arial Narrow" w:eastAsia="Arial Narrow" w:hAnsi="Arial Narrow" w:cs="Arial Narrow"/>
          <w:sz w:val="22"/>
          <w:szCs w:val="22"/>
        </w:rPr>
      </w:pPr>
    </w:p>
    <w:p w14:paraId="63512FF9"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16:</w:t>
      </w:r>
    </w:p>
    <w:p w14:paraId="3CAA42FE"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11.09.2013 tarih ve 28762 sayılı resmî gazetede yayımlanarak yürürlüğe giren Sağlık ve Güvenlik İşaretleri Yönetmeliği 4. Maddesi hükmünce işyerinde güvenlik sağlık işaretlerini bulundurmak ve uygun şekilde kullanmak zorundadır.</w:t>
      </w:r>
    </w:p>
    <w:p w14:paraId="49624B04"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6AD8D473" w14:textId="2738CECD"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17:</w:t>
      </w:r>
    </w:p>
    <w:p w14:paraId="1B5B393D"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6331 sayılı İş Sağlığı ve Güvenliği Kanunun 14. Maddesi hükmünce işin yürütülmesi esnasında bütün iş kazalarının ve meslek hastalıklarının kaydını tutarak gerekli analizleri, incelemeleri yapıp bunlar ile ilgili raporlamaları düzenlemek zorundadır</w:t>
      </w:r>
    </w:p>
    <w:p w14:paraId="15AF9D93"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iş kazalarını öncelikle ve ivedi olarak ŞİRKET’e yazılı olarak bildirmek zorundadır. İş kazalarını kazadan sonraki üç iş günü içinde, sağlık hizmeti sunucuları veya işyeri hekimi tarafından kendisine bildirilen meslek hastalıklarını ise öğrendiği tarihten itibaren on iş günü içinde Sosyal Güvenlik Kurumuna bildirir. YÜKLENİCİ, bildirimin bir suretini ŞİRKET’e gönderir ve en geç kazadan sonraki 5 gün içinde hazırlayacağı iş kazası/meslek hastalığı araştırma/inceleme formunu ve kazalara ilişkin istatistiklerini ŞİRKET’e teslim eder. YÜKLENİCİ, olası iş kazalarında olay yerini muhafaza altına almak, teknik ve adli inceleme bitinceye kadar muhafaza etmekle sorumludur.</w:t>
      </w:r>
    </w:p>
    <w:p w14:paraId="0D3CBDAA"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meydana gelen ancak yaralanma veya ölüme neden olmadığı halde işyeri ya da iş ekipmanının zarara uğramasına yol açan veya çalışan, işyeri ya da iş ekipmanını zarara uğratma potansiyeli olan olayları inceleyerek bunlar ile ilgili ramak kala raporları düzenler.</w:t>
      </w:r>
    </w:p>
    <w:p w14:paraId="113FC871"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6E44CB24" w14:textId="5AE4A94D"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18:</w:t>
      </w:r>
    </w:p>
    <w:p w14:paraId="6032209B"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taahhüt ettiği işlerle ilgili İş ve Sosyal Güvenlik mevzuatı ile Borçlar Hukuku yönünden tamamen kendisi sorumludur. Herhangi bir iş kazası/meslek hastalığı durumunda veya olağan zamanlarda yapılacak teftiş ve incelemelerde yetkililerle doğrudan muhatap olacaktır.</w:t>
      </w:r>
    </w:p>
    <w:p w14:paraId="7E19D650"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işin yapımı süresince çalıştırdığı çalışanların sağlık ve güvenliğinden mutlak sorumluluğu kabul eder. Ayrıca kendi çalışanlarının kusurlu davranışından dolayı veya diğer YÜKLENİCİ’ lerin çalışanlarının ya da ekipmanının zarar görmesi halinde doğacak sorumluluğu da kabul eder. YÜKLENİCİ’ lerin çalışanlarının açık bir kusuru tespit edilmedikçe çalışanlarının geçireceği iş kazalarının tüm sorumluluğunu kabul eder.</w:t>
      </w:r>
    </w:p>
    <w:p w14:paraId="33FAB6BC"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400EBBAA"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5ADEE3C9"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403FAC81" w14:textId="10424F0A"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lastRenderedPageBreak/>
        <w:t>Madde 19:</w:t>
      </w:r>
    </w:p>
    <w:p w14:paraId="65C9AB00"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işe başlamadan önce iş yerinde çalışacak personel listesini ve SGK bildirgelerini, daha sonra her işe yeni başlayan çalışanın kayıtlarını da ŞİRKET’ e teslim etmek zorundadır.</w:t>
      </w:r>
    </w:p>
    <w:p w14:paraId="04B20C8D"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YÜKLENİCİ Çalışma sahasında 18 yaşından küçük genç, çocuk işçi ve sigortasız işçi kesinlikle çalıştırılmayacaktır.</w:t>
      </w:r>
    </w:p>
    <w:p w14:paraId="1F171240"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3D981FC4" w14:textId="33D575DB"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20:</w:t>
      </w:r>
    </w:p>
    <w:p w14:paraId="100771EE"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ŞİRKET çalışmalar esnasında YÜKLENİCİYİ İş Sağlığı ve Güvenliği konularında denetleyebilecek ve bu konularda talimatlar verilecektir.</w:t>
      </w:r>
    </w:p>
    <w:p w14:paraId="22E95B1F" w14:textId="77777777" w:rsidR="007C6DBF" w:rsidRDefault="007C6DBF" w:rsidP="00BE6694">
      <w:pPr>
        <w:spacing w:line="360" w:lineRule="auto"/>
        <w:ind w:left="0" w:hanging="2"/>
        <w:jc w:val="both"/>
        <w:outlineLvl w:val="9"/>
        <w:rPr>
          <w:rFonts w:ascii="Arial Narrow" w:eastAsia="Arial Narrow" w:hAnsi="Arial Narrow" w:cs="Arial Narrow"/>
          <w:b/>
          <w:sz w:val="22"/>
          <w:szCs w:val="22"/>
        </w:rPr>
      </w:pPr>
    </w:p>
    <w:p w14:paraId="08AA7521" w14:textId="5323E3DC"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b/>
          <w:sz w:val="22"/>
          <w:szCs w:val="22"/>
        </w:rPr>
        <w:t>Madde 21:</w:t>
      </w:r>
    </w:p>
    <w:p w14:paraId="0E5C3946"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CEZAİ HÜKÜMLER:</w:t>
      </w:r>
    </w:p>
    <w:p w14:paraId="030DF472"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İş sağlığı ve Güvenliği kapsamında ŞİRKET tarafından YÜKLENİCİYE uygunsuzlukların tespiti uygulanacak cezai müeyyideler aşağıdaki gibidir.</w:t>
      </w:r>
    </w:p>
    <w:p w14:paraId="49676DDD"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1.</w:t>
      </w:r>
      <w:r>
        <w:rPr>
          <w:rFonts w:ascii="Arial Narrow" w:eastAsia="Arial Narrow" w:hAnsi="Arial Narrow" w:cs="Arial Narrow"/>
          <w:sz w:val="22"/>
          <w:szCs w:val="22"/>
        </w:rPr>
        <w:tab/>
        <w:t>Para cezası</w:t>
      </w:r>
    </w:p>
    <w:p w14:paraId="1FEE96D3"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2.</w:t>
      </w:r>
      <w:r>
        <w:rPr>
          <w:rFonts w:ascii="Arial Narrow" w:eastAsia="Arial Narrow" w:hAnsi="Arial Narrow" w:cs="Arial Narrow"/>
          <w:sz w:val="22"/>
          <w:szCs w:val="22"/>
        </w:rPr>
        <w:tab/>
        <w:t>İş akdinin feshi</w:t>
      </w:r>
    </w:p>
    <w:p w14:paraId="1F1CD779" w14:textId="77777777" w:rsidR="00FF6768" w:rsidRDefault="00000000" w:rsidP="00BE6694">
      <w:pPr>
        <w:numPr>
          <w:ilvl w:val="0"/>
          <w:numId w:val="1"/>
        </w:num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ŞİRKET tarafından yapılan kontrollerde gerekli önlemleri alınmadığı tespit edilirse YÜKLENİCİ’ye ŞİRKET’çe para cezası uygulanacaktır (EK-2: 6331 Sayılı İSG Kanuna Göre 2023 Yılında Uygulanacak İdari Para Cezaları Cetveli). ŞİRKET, 2 (iki) kez ceza uygulamasına maruz kalan YÜKLENİCİ’nin, EK-2 de belirtilen maddelere göre ceza uygulama veya sözleşmeyi tek taraflı feshetme hakkına sahiptir.</w:t>
      </w:r>
    </w:p>
    <w:p w14:paraId="308306FD" w14:textId="77777777" w:rsidR="00FF6768" w:rsidRDefault="00000000" w:rsidP="00BE6694">
      <w:pPr>
        <w:numPr>
          <w:ilvl w:val="0"/>
          <w:numId w:val="1"/>
        </w:num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Para cezaları; sözleşmenin geçerli olduğu yıl/yıllar için belirlenmiş olup, sözleşme ekinde sunulmuştur. Her yıl bakanlıkça güncellenecek ilgili tablo (EK-2) verileri içinde olunan yıl için geçerli kabul edilecektir.</w:t>
      </w:r>
    </w:p>
    <w:p w14:paraId="2DAFDD12" w14:textId="77777777" w:rsidR="00FF6768" w:rsidRDefault="00000000" w:rsidP="00BE6694">
      <w:pPr>
        <w:numPr>
          <w:ilvl w:val="0"/>
          <w:numId w:val="1"/>
        </w:num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Uygunsuzluğu tespit edilen YÜKLENİCİ çalışanının iş akdi fesh edilecektir.</w:t>
      </w:r>
    </w:p>
    <w:p w14:paraId="4EC0C81D" w14:textId="77777777" w:rsidR="00FF6768" w:rsidRDefault="00000000" w:rsidP="00BE6694">
      <w:pPr>
        <w:numPr>
          <w:ilvl w:val="0"/>
          <w:numId w:val="1"/>
        </w:num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Cezalar YÜKLENİCİ ye yazılı veya mail olarak bildirilir, YÜKLENİCİ çalışanlarının yaptığı uygunsuz çalışmalar tespitinde çalışan işçinin YÜKLENİCİ sine cezai işlem uygulanır. YÜKLENİCİNİN itirazı durumunda ŞİRKET ve YÜKLENİCİ tarafından oluşturulacak bir komisyon tarafından değerlendirme yapılarak nihai karar verilir.</w:t>
      </w:r>
    </w:p>
    <w:p w14:paraId="54C9F2CD" w14:textId="77777777" w:rsidR="00FF6768" w:rsidRDefault="00000000" w:rsidP="00BE6694">
      <w:pPr>
        <w:numPr>
          <w:ilvl w:val="0"/>
          <w:numId w:val="1"/>
        </w:num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Uygunsuzluklar ve cezalar listesinde yer almayan ancak, iş sağlığı ve güvenliği ve çevre açısından tehlikeli sayılacak fiil ve davranışlar için; fiilin niteliğine göre bu sözleşmede belirtilen cezalardan biri kıyasen uygulanır.</w:t>
      </w:r>
    </w:p>
    <w:p w14:paraId="62747C63" w14:textId="77777777" w:rsidR="00FF6768" w:rsidRDefault="00000000" w:rsidP="00BE6694">
      <w:pPr>
        <w:numPr>
          <w:ilvl w:val="0"/>
          <w:numId w:val="1"/>
        </w:num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Resmi makamlarca (Çalışma ve Sosyal Güvenlik Bakanlığı, Çevre ve Şehircilik Bakanlığı vb.) İş Sağlığı ve Güvenliği, Çevre yönünden tespit edilen eksikliklere ilişkin para cezalarından YÜKLENİCİ sorumlu olacaktır. İlgili tutar ŞİRKET’çe YÜKLENİCİ’nin hak edişinden kesilecektir.</w:t>
      </w:r>
    </w:p>
    <w:p w14:paraId="29D4BA9B" w14:textId="77777777" w:rsidR="00FF6768" w:rsidRDefault="00FF6768" w:rsidP="00BE6694">
      <w:pPr>
        <w:spacing w:line="360" w:lineRule="auto"/>
        <w:ind w:left="0" w:hanging="2"/>
        <w:jc w:val="both"/>
        <w:outlineLvl w:val="9"/>
        <w:rPr>
          <w:rFonts w:ascii="Arial Narrow" w:eastAsia="Arial Narrow" w:hAnsi="Arial Narrow" w:cs="Arial Narrow"/>
          <w:sz w:val="22"/>
          <w:szCs w:val="22"/>
        </w:rPr>
      </w:pPr>
    </w:p>
    <w:p w14:paraId="6107A193" w14:textId="77777777" w:rsidR="00FF6768" w:rsidRDefault="00000000" w:rsidP="00BE6694">
      <w:pPr>
        <w:spacing w:line="360" w:lineRule="auto"/>
        <w:ind w:left="0" w:hanging="2"/>
        <w:jc w:val="both"/>
        <w:outlineLvl w:val="9"/>
        <w:rPr>
          <w:rFonts w:ascii="Arial Narrow" w:eastAsia="Arial Narrow" w:hAnsi="Arial Narrow" w:cs="Arial Narrow"/>
          <w:sz w:val="22"/>
          <w:szCs w:val="22"/>
        </w:rPr>
      </w:pPr>
      <w:r>
        <w:rPr>
          <w:rFonts w:ascii="Arial Narrow" w:eastAsia="Arial Narrow" w:hAnsi="Arial Narrow" w:cs="Arial Narrow"/>
          <w:sz w:val="22"/>
          <w:szCs w:val="22"/>
        </w:rPr>
        <w:t>Yukarıdaki Sözleşmede belirtilen maddeler ve İSG Denetimlerinde, herhangi bir İş Sağlığı ve Güvenliği kuralının ihlali ve eksikliklerinin tespit edilmesi cezai yükümlülüklerini aynen ödemeyi kabul ettiğini beyan ve taahhüt eder.</w:t>
      </w:r>
    </w:p>
    <w:sectPr w:rsidR="00FF6768">
      <w:headerReference w:type="default" r:id="rId8"/>
      <w:footerReference w:type="default" r:id="rId9"/>
      <w:pgSz w:w="11905" w:h="16837"/>
      <w:pgMar w:top="851" w:right="848" w:bottom="851" w:left="900" w:header="708"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41CFC" w14:textId="77777777" w:rsidR="000B6463" w:rsidRDefault="000B6463">
      <w:pPr>
        <w:spacing w:line="240" w:lineRule="auto"/>
        <w:ind w:left="0" w:hanging="2"/>
      </w:pPr>
      <w:r>
        <w:separator/>
      </w:r>
    </w:p>
  </w:endnote>
  <w:endnote w:type="continuationSeparator" w:id="0">
    <w:p w14:paraId="5B73BA33" w14:textId="77777777" w:rsidR="000B6463" w:rsidRDefault="000B646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embedRegular r:id="rId1" w:fontKey="{E2E9036D-EC93-41BC-B5A9-7910F6F96E87}"/>
  </w:font>
  <w:font w:name="Tahoma">
    <w:panose1 w:val="020B0604030504040204"/>
    <w:charset w:val="A2"/>
    <w:family w:val="swiss"/>
    <w:pitch w:val="variable"/>
    <w:sig w:usb0="E1002EFF" w:usb1="C000605B" w:usb2="00000029" w:usb3="00000000" w:csb0="000101FF" w:csb1="00000000"/>
    <w:embedRegular r:id="rId2" w:fontKey="{8759C01E-1A56-40DD-8250-B831220A63BE}"/>
  </w:font>
  <w:font w:name="Georgia">
    <w:panose1 w:val="02040502050405020303"/>
    <w:charset w:val="A2"/>
    <w:family w:val="roman"/>
    <w:pitch w:val="variable"/>
    <w:sig w:usb0="00000287" w:usb1="00000000" w:usb2="00000000" w:usb3="00000000" w:csb0="0000009F" w:csb1="00000000"/>
    <w:embedRegular r:id="rId3" w:fontKey="{DEA5E410-8561-45CA-A6AD-640770673282}"/>
    <w:embedItalic r:id="rId4" w:fontKey="{2240EBD2-7342-47E8-A257-F822ED272D2E}"/>
  </w:font>
  <w:font w:name="Arial Narrow">
    <w:panose1 w:val="020B0606020202030204"/>
    <w:charset w:val="A2"/>
    <w:family w:val="swiss"/>
    <w:pitch w:val="variable"/>
    <w:sig w:usb0="00000287" w:usb1="00000800" w:usb2="00000000" w:usb3="00000000" w:csb0="0000009F" w:csb1="00000000"/>
    <w:embedRegular r:id="rId5" w:fontKey="{1EA52B36-5F8A-4DEC-B215-A5D6225A167A}"/>
    <w:embedBold r:id="rId6" w:fontKey="{0DAADDE8-0B7A-4952-B816-579FA9FBD3DA}"/>
  </w:font>
  <w:font w:name="Calibri">
    <w:panose1 w:val="020F0502020204030204"/>
    <w:charset w:val="A2"/>
    <w:family w:val="swiss"/>
    <w:pitch w:val="variable"/>
    <w:sig w:usb0="E4002EFF" w:usb1="C200247B" w:usb2="00000009" w:usb3="00000000" w:csb0="000001FF" w:csb1="00000000"/>
    <w:embedRegular r:id="rId7" w:fontKey="{9F7715C0-615D-45A7-B3F1-E60EF15C594E}"/>
  </w:font>
  <w:font w:name="Cambria">
    <w:panose1 w:val="02040503050406030204"/>
    <w:charset w:val="A2"/>
    <w:family w:val="roman"/>
    <w:pitch w:val="variable"/>
    <w:sig w:usb0="E00006FF" w:usb1="420024FF" w:usb2="02000000" w:usb3="00000000" w:csb0="0000019F" w:csb1="00000000"/>
    <w:embedRegular r:id="rId8" w:fontKey="{B4D4C5B3-0ABA-415D-86A8-23C1A6C609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B375" w14:textId="77777777" w:rsidR="00FF6768" w:rsidRDefault="00000000">
    <w:pPr>
      <w:pBdr>
        <w:top w:val="nil"/>
        <w:left w:val="nil"/>
        <w:bottom w:val="nil"/>
        <w:right w:val="nil"/>
        <w:between w:val="nil"/>
      </w:pBdr>
      <w:tabs>
        <w:tab w:val="center" w:pos="4536"/>
        <w:tab w:val="right" w:pos="9072"/>
      </w:tabs>
      <w:spacing w:line="240" w:lineRule="auto"/>
      <w:ind w:left="0" w:hanging="2"/>
      <w:jc w:val="center"/>
      <w:rPr>
        <w:color w:val="000000"/>
      </w:rPr>
    </w:pPr>
    <w:r>
      <w:rPr>
        <w:color w:val="000000"/>
      </w:rPr>
      <w:t xml:space="preserve">Sayfa </w:t>
    </w:r>
    <w:r>
      <w:rPr>
        <w:b/>
        <w:color w:val="000000"/>
      </w:rPr>
      <w:fldChar w:fldCharType="begin"/>
    </w:r>
    <w:r>
      <w:rPr>
        <w:b/>
        <w:color w:val="000000"/>
      </w:rPr>
      <w:instrText>PAGE</w:instrText>
    </w:r>
    <w:r>
      <w:rPr>
        <w:b/>
        <w:color w:val="000000"/>
      </w:rPr>
      <w:fldChar w:fldCharType="separate"/>
    </w:r>
    <w:r w:rsidR="00BE6694">
      <w:rPr>
        <w:b/>
        <w:noProof/>
        <w:color w:val="000000"/>
      </w:rPr>
      <w:t>1</w:t>
    </w:r>
    <w:r>
      <w:rPr>
        <w:b/>
        <w:color w:val="000000"/>
      </w:rPr>
      <w:fldChar w:fldCharType="end"/>
    </w:r>
    <w:r>
      <w:rPr>
        <w:color w:val="000000"/>
      </w:rPr>
      <w:t xml:space="preserve"> / </w:t>
    </w:r>
    <w:r>
      <w:rPr>
        <w:b/>
        <w:color w:val="000000"/>
      </w:rPr>
      <w:fldChar w:fldCharType="begin"/>
    </w:r>
    <w:r>
      <w:rPr>
        <w:b/>
        <w:color w:val="000000"/>
      </w:rPr>
      <w:instrText>NUMPAGES</w:instrText>
    </w:r>
    <w:r>
      <w:rPr>
        <w:b/>
        <w:color w:val="000000"/>
      </w:rPr>
      <w:fldChar w:fldCharType="separate"/>
    </w:r>
    <w:r w:rsidR="00BE6694">
      <w:rPr>
        <w:b/>
        <w:noProof/>
        <w:color w:val="000000"/>
      </w:rPr>
      <w:t>2</w:t>
    </w:r>
    <w:r>
      <w:rPr>
        <w:b/>
        <w:color w:val="000000"/>
      </w:rPr>
      <w:fldChar w:fldCharType="end"/>
    </w:r>
  </w:p>
  <w:p w14:paraId="09F87C4E" w14:textId="77777777" w:rsidR="00FF6768" w:rsidRDefault="00FF6768">
    <w:pPr>
      <w:pBdr>
        <w:top w:val="nil"/>
        <w:left w:val="nil"/>
        <w:bottom w:val="nil"/>
        <w:right w:val="nil"/>
        <w:between w:val="nil"/>
      </w:pBdr>
      <w:tabs>
        <w:tab w:val="center" w:pos="4536"/>
        <w:tab w:val="right" w:pos="9072"/>
      </w:tabs>
      <w:spacing w:line="240" w:lineRule="auto"/>
      <w:ind w:left="0" w:hanging="2"/>
      <w:jc w:val="right"/>
      <w:rPr>
        <w:color w:val="000000"/>
      </w:rPr>
    </w:pPr>
  </w:p>
  <w:p w14:paraId="1CC57D00" w14:textId="77777777" w:rsidR="00FF6768" w:rsidRDefault="00FF6768">
    <w:pPr>
      <w:pBdr>
        <w:top w:val="nil"/>
        <w:left w:val="nil"/>
        <w:bottom w:val="nil"/>
        <w:right w:val="nil"/>
        <w:between w:val="nil"/>
      </w:pBdr>
      <w:tabs>
        <w:tab w:val="center" w:pos="4536"/>
        <w:tab w:val="right" w:pos="9072"/>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9CEA7" w14:textId="77777777" w:rsidR="000B6463" w:rsidRDefault="000B6463">
      <w:pPr>
        <w:spacing w:line="240" w:lineRule="auto"/>
        <w:ind w:left="0" w:hanging="2"/>
      </w:pPr>
      <w:r>
        <w:separator/>
      </w:r>
    </w:p>
  </w:footnote>
  <w:footnote w:type="continuationSeparator" w:id="0">
    <w:p w14:paraId="457D15F3" w14:textId="77777777" w:rsidR="000B6463" w:rsidRDefault="000B646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60CDD" w14:textId="77777777" w:rsidR="00FF6768" w:rsidRDefault="00000000">
    <w:pPr>
      <w:pBdr>
        <w:top w:val="nil"/>
        <w:left w:val="nil"/>
        <w:bottom w:val="nil"/>
        <w:right w:val="nil"/>
        <w:between w:val="nil"/>
      </w:pBdr>
      <w:tabs>
        <w:tab w:val="center" w:pos="4536"/>
        <w:tab w:val="right" w:pos="9072"/>
      </w:tabs>
      <w:spacing w:line="240" w:lineRule="auto"/>
      <w:ind w:left="0" w:hanging="2"/>
      <w:rPr>
        <w:color w:val="000000"/>
      </w:rPr>
    </w:pPr>
    <w:r>
      <w:rPr>
        <w:color w:val="000000"/>
      </w:rPr>
      <w:t xml:space="preserve">                                                              </w:t>
    </w:r>
    <w:r>
      <w:rPr>
        <w:color w:val="000000"/>
      </w:rPr>
      <w:tab/>
    </w:r>
    <w:r>
      <w:rPr>
        <w:noProof/>
        <w:color w:val="000000"/>
      </w:rPr>
      <w:drawing>
        <wp:inline distT="0" distB="0" distL="114300" distR="114300" wp14:anchorId="524A0E59" wp14:editId="7E155873">
          <wp:extent cx="1600200" cy="38100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0200" cy="381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C3221E"/>
    <w:multiLevelType w:val="multilevel"/>
    <w:tmpl w:val="312020D6"/>
    <w:lvl w:ilvl="0">
      <w:start w:val="1"/>
      <w:numFmt w:val="lowerLetter"/>
      <w:lvlText w:val="%1)"/>
      <w:lvlJc w:val="left"/>
      <w:pPr>
        <w:ind w:left="2265" w:hanging="705"/>
      </w:pPr>
      <w:rPr>
        <w:vertAlign w:val="baseline"/>
      </w:rPr>
    </w:lvl>
    <w:lvl w:ilvl="1">
      <w:start w:val="1"/>
      <w:numFmt w:val="lowerLetter"/>
      <w:lvlText w:val="%2."/>
      <w:lvlJc w:val="left"/>
      <w:pPr>
        <w:ind w:left="2498" w:hanging="360"/>
      </w:pPr>
      <w:rPr>
        <w:vertAlign w:val="baseline"/>
      </w:rPr>
    </w:lvl>
    <w:lvl w:ilvl="2">
      <w:start w:val="1"/>
      <w:numFmt w:val="lowerRoman"/>
      <w:lvlText w:val="%3."/>
      <w:lvlJc w:val="right"/>
      <w:pPr>
        <w:ind w:left="3218" w:hanging="180"/>
      </w:pPr>
      <w:rPr>
        <w:vertAlign w:val="baseline"/>
      </w:rPr>
    </w:lvl>
    <w:lvl w:ilvl="3">
      <w:start w:val="1"/>
      <w:numFmt w:val="decimal"/>
      <w:lvlText w:val="%4."/>
      <w:lvlJc w:val="left"/>
      <w:pPr>
        <w:ind w:left="3938" w:hanging="360"/>
      </w:pPr>
      <w:rPr>
        <w:vertAlign w:val="baseline"/>
      </w:rPr>
    </w:lvl>
    <w:lvl w:ilvl="4">
      <w:start w:val="1"/>
      <w:numFmt w:val="lowerLetter"/>
      <w:lvlText w:val="%5."/>
      <w:lvlJc w:val="left"/>
      <w:pPr>
        <w:ind w:left="4658" w:hanging="360"/>
      </w:pPr>
      <w:rPr>
        <w:vertAlign w:val="baseline"/>
      </w:rPr>
    </w:lvl>
    <w:lvl w:ilvl="5">
      <w:start w:val="1"/>
      <w:numFmt w:val="lowerRoman"/>
      <w:lvlText w:val="%6."/>
      <w:lvlJc w:val="right"/>
      <w:pPr>
        <w:ind w:left="5378" w:hanging="180"/>
      </w:pPr>
      <w:rPr>
        <w:vertAlign w:val="baseline"/>
      </w:rPr>
    </w:lvl>
    <w:lvl w:ilvl="6">
      <w:start w:val="1"/>
      <w:numFmt w:val="decimal"/>
      <w:lvlText w:val="%7."/>
      <w:lvlJc w:val="left"/>
      <w:pPr>
        <w:ind w:left="6098" w:hanging="360"/>
      </w:pPr>
      <w:rPr>
        <w:vertAlign w:val="baseline"/>
      </w:rPr>
    </w:lvl>
    <w:lvl w:ilvl="7">
      <w:start w:val="1"/>
      <w:numFmt w:val="lowerLetter"/>
      <w:lvlText w:val="%8."/>
      <w:lvlJc w:val="left"/>
      <w:pPr>
        <w:ind w:left="6818" w:hanging="360"/>
      </w:pPr>
      <w:rPr>
        <w:vertAlign w:val="baseline"/>
      </w:rPr>
    </w:lvl>
    <w:lvl w:ilvl="8">
      <w:start w:val="1"/>
      <w:numFmt w:val="lowerRoman"/>
      <w:lvlText w:val="%9."/>
      <w:lvlJc w:val="right"/>
      <w:pPr>
        <w:ind w:left="7538" w:hanging="180"/>
      </w:pPr>
      <w:rPr>
        <w:vertAlign w:val="baseline"/>
      </w:rPr>
    </w:lvl>
  </w:abstractNum>
  <w:num w:numId="1" w16cid:durableId="647784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768"/>
    <w:rsid w:val="000B6463"/>
    <w:rsid w:val="00111A59"/>
    <w:rsid w:val="002C4322"/>
    <w:rsid w:val="005F516E"/>
    <w:rsid w:val="007C6DBF"/>
    <w:rsid w:val="007F2C17"/>
    <w:rsid w:val="00BE6694"/>
    <w:rsid w:val="00D15439"/>
    <w:rsid w:val="00ED4DE9"/>
    <w:rsid w:val="00FF67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80EE4"/>
  <w15:docId w15:val="{BCCC2E87-A90F-4B75-AA8E-D36C3749E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Balk1">
    <w:name w:val="heading 1"/>
    <w:basedOn w:val="Normal"/>
    <w:next w:val="Normal"/>
    <w:uiPriority w:val="9"/>
    <w:qFormat/>
    <w:pPr>
      <w:keepNext/>
      <w:ind w:left="832" w:firstLine="0"/>
      <w:jc w:val="both"/>
    </w:pPr>
    <w:rPr>
      <w:u w:val="single"/>
    </w:rPr>
  </w:style>
  <w:style w:type="paragraph" w:styleId="Balk2">
    <w:name w:val="heading 2"/>
    <w:basedOn w:val="Normal"/>
    <w:next w:val="Normal"/>
    <w:uiPriority w:val="9"/>
    <w:semiHidden/>
    <w:unhideWhenUsed/>
    <w:qFormat/>
    <w:pPr>
      <w:keepNext/>
      <w:ind w:left="0" w:firstLine="450"/>
      <w:jc w:val="both"/>
      <w:outlineLvl w:val="1"/>
    </w:pPr>
    <w:rPr>
      <w:b/>
      <w:bCs/>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Symbol" w:hAnsi="Symbol"/>
      <w:w w:val="100"/>
      <w:position w:val="-1"/>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2z0">
    <w:name w:val="WW8Num2z0"/>
    <w:rPr>
      <w:b/>
      <w:i w:val="0"/>
      <w:w w:val="100"/>
      <w:position w:val="-1"/>
      <w:sz w:val="24"/>
      <w:effect w:val="none"/>
      <w:vertAlign w:val="baseline"/>
      <w:cs w:val="0"/>
      <w:em w:val="none"/>
    </w:rPr>
  </w:style>
  <w:style w:type="character" w:customStyle="1" w:styleId="WW8Num2z1">
    <w:name w:val="WW8Num2z1"/>
    <w:rPr>
      <w:rFonts w:ascii="Symbol" w:hAnsi="Symbol"/>
      <w:b/>
      <w:i w:val="0"/>
      <w:w w:val="100"/>
      <w:position w:val="-1"/>
      <w:sz w:val="24"/>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0">
    <w:name w:val="WW8Num4z0"/>
    <w:rPr>
      <w:b/>
      <w:i w:val="0"/>
      <w:w w:val="100"/>
      <w:position w:val="-1"/>
      <w:sz w:val="24"/>
      <w:effect w:val="none"/>
      <w:vertAlign w:val="baseline"/>
      <w:cs w:val="0"/>
      <w:em w:val="none"/>
    </w:rPr>
  </w:style>
  <w:style w:type="character" w:customStyle="1" w:styleId="WW8Num5z0">
    <w:name w:val="WW8Num5z0"/>
    <w:rPr>
      <w:b/>
      <w:i w:val="0"/>
      <w:w w:val="100"/>
      <w:position w:val="-1"/>
      <w:sz w:val="24"/>
      <w:effect w:val="none"/>
      <w:vertAlign w:val="baseline"/>
      <w:cs w:val="0"/>
      <w:em w:val="none"/>
    </w:rPr>
  </w:style>
  <w:style w:type="character" w:customStyle="1" w:styleId="WW8Num6z1">
    <w:name w:val="WW8Num6z1"/>
    <w:rPr>
      <w:rFonts w:ascii="Courier New" w:hAnsi="Courier New" w:cs="Courier New"/>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VarsaylanParagrafYazTipi1">
    <w:name w:val="Varsayılan Paragraf Yazı Tipi1"/>
    <w:rPr>
      <w:w w:val="100"/>
      <w:position w:val="-1"/>
      <w:effect w:val="none"/>
      <w:vertAlign w:val="baseline"/>
      <w:cs w:val="0"/>
      <w:em w:val="none"/>
    </w:rPr>
  </w:style>
  <w:style w:type="character" w:styleId="SayfaNumaras">
    <w:name w:val="page number"/>
    <w:basedOn w:val="VarsaylanParagrafYazTipi1"/>
    <w:rPr>
      <w:w w:val="100"/>
      <w:position w:val="-1"/>
      <w:effect w:val="none"/>
      <w:vertAlign w:val="baseline"/>
      <w:cs w:val="0"/>
      <w:em w:val="none"/>
    </w:rPr>
  </w:style>
  <w:style w:type="character" w:customStyle="1" w:styleId="Maddemleri">
    <w:name w:val="Madde İmleri"/>
    <w:rPr>
      <w:rFonts w:ascii="StarSymbol" w:eastAsia="StarSymbol" w:hAnsi="StarSymbol" w:cs="StarSymbol"/>
      <w:w w:val="100"/>
      <w:position w:val="-1"/>
      <w:sz w:val="18"/>
      <w:szCs w:val="18"/>
      <w:effect w:val="none"/>
      <w:vertAlign w:val="baseline"/>
      <w:cs w:val="0"/>
      <w:em w:val="none"/>
    </w:rPr>
  </w:style>
  <w:style w:type="paragraph" w:styleId="GvdeMetni">
    <w:name w:val="Body Text"/>
    <w:basedOn w:val="Normal"/>
    <w:pPr>
      <w:jc w:val="both"/>
    </w:pPr>
  </w:style>
  <w:style w:type="paragraph" w:styleId="Liste">
    <w:name w:val="List"/>
    <w:basedOn w:val="GvdeMetni"/>
  </w:style>
  <w:style w:type="paragraph" w:customStyle="1" w:styleId="ResimYazs1">
    <w:name w:val="Resim Yazısı1"/>
    <w:basedOn w:val="Normal"/>
    <w:pPr>
      <w:suppressLineNumbers/>
      <w:spacing w:before="120" w:after="120"/>
    </w:pPr>
    <w:rPr>
      <w:i/>
      <w:iCs/>
      <w:sz w:val="20"/>
      <w:szCs w:val="20"/>
    </w:rPr>
  </w:style>
  <w:style w:type="paragraph" w:customStyle="1" w:styleId="Dizin">
    <w:name w:val="Dizin"/>
    <w:basedOn w:val="Normal"/>
    <w:pPr>
      <w:suppressLineNumbers/>
    </w:pPr>
  </w:style>
  <w:style w:type="paragraph" w:customStyle="1" w:styleId="Balk">
    <w:name w:val="Başlık"/>
    <w:basedOn w:val="Normal"/>
    <w:next w:val="GvdeMetni"/>
    <w:pPr>
      <w:keepNext/>
      <w:spacing w:before="240" w:after="120"/>
    </w:pPr>
    <w:rPr>
      <w:rFonts w:ascii="Arial" w:eastAsia="Lucida Sans Unicode" w:hAnsi="Arial" w:cs="Tahoma"/>
      <w:sz w:val="28"/>
      <w:szCs w:val="28"/>
    </w:rPr>
  </w:style>
  <w:style w:type="paragraph" w:styleId="GvdeMetniGirintisi">
    <w:name w:val="Body Text Indent"/>
    <w:basedOn w:val="Normal"/>
    <w:pPr>
      <w:ind w:left="832" w:firstLine="0"/>
      <w:jc w:val="both"/>
    </w:pPr>
  </w:style>
  <w:style w:type="paragraph" w:customStyle="1" w:styleId="GvdeMetniGirintisi21">
    <w:name w:val="Gövde Metni Girintisi 21"/>
    <w:basedOn w:val="Normal"/>
    <w:pPr>
      <w:ind w:left="900" w:firstLine="0"/>
    </w:pPr>
  </w:style>
  <w:style w:type="paragraph" w:customStyle="1" w:styleId="GvdeMetniGirintisi31">
    <w:name w:val="Gövde Metni Girintisi 31"/>
    <w:basedOn w:val="Normal"/>
    <w:pPr>
      <w:ind w:left="708" w:firstLine="0"/>
      <w:jc w:val="both"/>
    </w:pPr>
  </w:style>
  <w:style w:type="paragraph" w:customStyle="1" w:styleId="Altbilgi">
    <w:name w:val="Altbilgi"/>
    <w:basedOn w:val="Normal"/>
    <w:pPr>
      <w:tabs>
        <w:tab w:val="center" w:pos="4536"/>
        <w:tab w:val="right" w:pos="9072"/>
      </w:tabs>
    </w:pPr>
  </w:style>
  <w:style w:type="paragraph" w:styleId="BalonMetni">
    <w:name w:val="Balloon Text"/>
    <w:basedOn w:val="Normal"/>
    <w:rPr>
      <w:rFonts w:ascii="Tahoma" w:hAnsi="Tahoma" w:cs="Tahoma"/>
      <w:sz w:val="16"/>
      <w:szCs w:val="16"/>
    </w:rPr>
  </w:style>
  <w:style w:type="paragraph" w:customStyle="1" w:styleId="ereveierii">
    <w:name w:val="Çerçeve içeriği"/>
    <w:basedOn w:val="GvdeMetni"/>
  </w:style>
  <w:style w:type="paragraph" w:styleId="ListeParagraf">
    <w:name w:val="List Paragraph"/>
    <w:basedOn w:val="Normal"/>
    <w:pPr>
      <w:ind w:left="708"/>
    </w:pPr>
  </w:style>
  <w:style w:type="paragraph" w:styleId="GvdeMetni2">
    <w:name w:val="Body Text 2"/>
    <w:basedOn w:val="Normal"/>
    <w:qFormat/>
    <w:pPr>
      <w:spacing w:after="120" w:line="480" w:lineRule="auto"/>
    </w:pPr>
  </w:style>
  <w:style w:type="character" w:customStyle="1" w:styleId="GvdeMetni2Char">
    <w:name w:val="Gövde Metni 2 Char"/>
    <w:rPr>
      <w:w w:val="100"/>
      <w:position w:val="-1"/>
      <w:sz w:val="24"/>
      <w:szCs w:val="24"/>
      <w:effect w:val="none"/>
      <w:vertAlign w:val="baseline"/>
      <w:cs w:val="0"/>
      <w:em w:val="none"/>
      <w:lang w:eastAsia="ar-SA"/>
    </w:r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rPr>
      <w:sz w:val="20"/>
      <w:szCs w:val="20"/>
    </w:rPr>
  </w:style>
  <w:style w:type="character" w:customStyle="1" w:styleId="AklamaMetniChar">
    <w:name w:val="Açıklama Metni Char"/>
    <w:rPr>
      <w:w w:val="100"/>
      <w:position w:val="-1"/>
      <w:effect w:val="none"/>
      <w:vertAlign w:val="baseline"/>
      <w:cs w:val="0"/>
      <w:em w:val="none"/>
      <w:lang w:eastAsia="ar-SA"/>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effect w:val="none"/>
      <w:vertAlign w:val="baseline"/>
      <w:cs w:val="0"/>
      <w:em w:val="none"/>
      <w:lang w:eastAsia="ar-SA"/>
    </w:rPr>
  </w:style>
  <w:style w:type="paragraph" w:customStyle="1" w:styleId="stbilgi">
    <w:name w:val="Üstbilgi"/>
    <w:basedOn w:val="Normal"/>
    <w:qFormat/>
    <w:pPr>
      <w:tabs>
        <w:tab w:val="center" w:pos="4536"/>
        <w:tab w:val="right" w:pos="9072"/>
      </w:tabs>
    </w:pPr>
  </w:style>
  <w:style w:type="character" w:customStyle="1" w:styleId="stbilgiChar">
    <w:name w:val="Üstbilgi Char"/>
    <w:rPr>
      <w:w w:val="100"/>
      <w:position w:val="-1"/>
      <w:sz w:val="24"/>
      <w:szCs w:val="24"/>
      <w:effect w:val="none"/>
      <w:vertAlign w:val="baseline"/>
      <w:cs w:val="0"/>
      <w:em w:val="none"/>
      <w:lang w:eastAsia="ar-SA"/>
    </w:rPr>
  </w:style>
  <w:style w:type="character" w:customStyle="1" w:styleId="AltbilgiChar">
    <w:name w:val="Altbilgi Char"/>
    <w:rPr>
      <w:w w:val="100"/>
      <w:position w:val="-1"/>
      <w:sz w:val="24"/>
      <w:szCs w:val="24"/>
      <w:effect w:val="none"/>
      <w:vertAlign w:val="baseline"/>
      <w:cs w:val="0"/>
      <w:em w:val="none"/>
      <w:lang w:eastAsia="ar-SA"/>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K/kmqVQAFPxGqyMzqUu0lFBbg==">CgMxLjA4AHIhMTJlbkZ6Y29RVWwwTHhqOXRlVUtyYUR5TkpoaHd6WGxR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2162</Words>
  <Characters>12328</Characters>
  <Application>Microsoft Office Word</Application>
  <DocSecurity>0</DocSecurity>
  <Lines>102</Lines>
  <Paragraphs>28</Paragraphs>
  <ScaleCrop>false</ScaleCrop>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Sebahat Ay</dc:creator>
  <cp:lastModifiedBy>User</cp:lastModifiedBy>
  <cp:revision>2</cp:revision>
  <dcterms:created xsi:type="dcterms:W3CDTF">2025-10-23T06:16:00Z</dcterms:created>
  <dcterms:modified xsi:type="dcterms:W3CDTF">2025-10-23T06:16:00Z</dcterms:modified>
</cp:coreProperties>
</file>